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B8" w:rsidRPr="00F30E23" w:rsidRDefault="002C2CB8" w:rsidP="002C2CB8">
      <w:pPr>
        <w:pStyle w:val="Ttulo1"/>
        <w:numPr>
          <w:ilvl w:val="0"/>
          <w:numId w:val="0"/>
        </w:numPr>
        <w:ind w:left="357" w:hanging="357"/>
        <w:rPr>
          <w:snapToGrid w:val="0"/>
          <w:lang w:val="es-ES_tradnl"/>
        </w:rPr>
      </w:pPr>
      <w:bookmarkStart w:id="0" w:name="_Toc531956152"/>
      <w:bookmarkStart w:id="1" w:name="_Toc17355553"/>
      <w:r w:rsidRPr="00F30E23">
        <w:rPr>
          <w:snapToGrid w:val="0"/>
          <w:lang w:val="es-ES_tradnl"/>
        </w:rPr>
        <w:t xml:space="preserve">APENDICE </w:t>
      </w:r>
      <w:r>
        <w:rPr>
          <w:snapToGrid w:val="0"/>
          <w:lang w:val="es-ES_tradnl"/>
        </w:rPr>
        <w:t>II</w:t>
      </w:r>
      <w:bookmarkStart w:id="2" w:name="_GoBack"/>
      <w:bookmarkEnd w:id="2"/>
      <w:r>
        <w:rPr>
          <w:snapToGrid w:val="0"/>
          <w:lang w:val="es-ES_tradnl"/>
        </w:rPr>
        <w:t>I</w:t>
      </w:r>
      <w:r w:rsidRPr="00F30E23">
        <w:rPr>
          <w:snapToGrid w:val="0"/>
          <w:lang w:val="es-ES_tradnl"/>
        </w:rPr>
        <w:t xml:space="preserve"> – planos de balizamiento y conforme a obra</w:t>
      </w:r>
      <w:bookmarkEnd w:id="0"/>
      <w:bookmarkEnd w:id="1"/>
    </w:p>
    <w:p w:rsidR="002C2CB8" w:rsidRPr="00F30E23" w:rsidRDefault="002C2CB8" w:rsidP="002C2CB8">
      <w:pPr>
        <w:rPr>
          <w:lang w:val="es-ES_tradnl"/>
        </w:rPr>
      </w:pPr>
      <w:r w:rsidRPr="00F30E23">
        <w:rPr>
          <w:lang w:val="es-ES_tradnl"/>
        </w:rPr>
        <w:t xml:space="preserve">Dentro de las tareas a realizar por el Contratista se encuentra la confección de los planos de “Balizamiento” y “Conforme a obra” de las tuberías, cámaras, registros y conexiones. </w:t>
      </w:r>
    </w:p>
    <w:p w:rsidR="002C2CB8" w:rsidRPr="00F30E23" w:rsidRDefault="002C2CB8" w:rsidP="002C2CB8">
      <w:pPr>
        <w:rPr>
          <w:lang w:val="es-ES_tradnl"/>
        </w:rPr>
      </w:pPr>
      <w:r w:rsidRPr="00F30E23">
        <w:rPr>
          <w:lang w:val="es-ES_tradnl"/>
        </w:rPr>
        <w:t>Posterior a la finalización de las obras, el Contratista entregará tres ejemplares en papel, y un ejemplar de los planos en calco y respaldo digital de los planos de “Balizamiento” y “Conforme a obra” de todas las instalaciones ejecutadas y, en caso de que los cambios lo ameriten y a sola solicitud de la Dirección de Obra, las respectivas memorias descriptiva y de cálculo.</w:t>
      </w:r>
    </w:p>
    <w:p w:rsidR="002C2CB8" w:rsidRPr="00F30E23" w:rsidRDefault="002C2CB8" w:rsidP="002C2CB8">
      <w:pPr>
        <w:rPr>
          <w:lang w:val="es-ES_tradnl"/>
        </w:rPr>
      </w:pPr>
      <w:r w:rsidRPr="00F30E23">
        <w:rPr>
          <w:lang w:val="es-ES_tradnl"/>
        </w:rPr>
        <w:t xml:space="preserve">Se deberán recoger las modificaciones y variantes que se hubieran generado al proyecto ejecutivo durante la ejecución de las obras y eventualmente durante el período de operación, en caso que la misma esté prevista por el Contratista. </w:t>
      </w:r>
    </w:p>
    <w:p w:rsidR="002C2CB8" w:rsidRPr="00F30E23" w:rsidRDefault="002C2CB8" w:rsidP="002C2CB8">
      <w:pPr>
        <w:rPr>
          <w:lang w:val="es-ES_tradnl"/>
        </w:rPr>
      </w:pPr>
      <w:r w:rsidRPr="00F30E23">
        <w:rPr>
          <w:lang w:val="es-ES_tradnl"/>
        </w:rPr>
        <w:t xml:space="preserve">Dichos planos deberán contar con la aprobación de la Dirección de Obra, </w:t>
      </w:r>
      <w:r>
        <w:t>en lo que respecta a la veracidad de la información graficada y con la validación de la Unidad de Información Geográfica de la Administración (UIG) que controlará la calidad geométrica de la misma. Cumplidas esas instancias, los planos</w:t>
      </w:r>
      <w:r w:rsidRPr="00F30E23">
        <w:rPr>
          <w:lang w:val="es-ES_tradnl"/>
        </w:rPr>
        <w:t xml:space="preserve"> </w:t>
      </w:r>
      <w:r>
        <w:t xml:space="preserve">físicos </w:t>
      </w:r>
      <w:r w:rsidRPr="00F30E23">
        <w:rPr>
          <w:lang w:val="es-ES_tradnl"/>
        </w:rPr>
        <w:t>deberán ser ingresados al archivo gráfico de la Administración</w:t>
      </w:r>
      <w:r>
        <w:t xml:space="preserve"> y la información editada en el SIG Corporativo</w:t>
      </w:r>
      <w:r w:rsidRPr="00F30E23">
        <w:rPr>
          <w:lang w:val="es-ES_tradnl"/>
        </w:rPr>
        <w:t xml:space="preserve">. Hasta tanto no se </w:t>
      </w:r>
      <w:r>
        <w:t>obtenga la conformidad de las áreas intervinientes respecto a los planos elaborados,</w:t>
      </w:r>
      <w:r w:rsidRPr="00F30E23">
        <w:rPr>
          <w:lang w:val="es-ES_tradnl"/>
        </w:rPr>
        <w:t xml:space="preserve"> el Contratista deberá continuar con las tareas de mantenimiento a su exclusivo costo y eventualmente con la operación en caso que esto estuviera previsto.</w:t>
      </w:r>
    </w:p>
    <w:p w:rsidR="002C2CB8" w:rsidRDefault="002C2CB8" w:rsidP="002C2CB8">
      <w:pPr>
        <w:rPr>
          <w:lang w:val="es-ES_tradnl"/>
        </w:rPr>
      </w:pPr>
    </w:p>
    <w:p w:rsidR="002C2CB8" w:rsidRDefault="002C2CB8" w:rsidP="002C2CB8">
      <w:pPr>
        <w:rPr>
          <w:rFonts w:ascii="Calibri" w:hAnsi="Calibri"/>
          <w:b/>
          <w:sz w:val="22"/>
          <w:szCs w:val="22"/>
          <w:lang w:val="es-ES_tradnl"/>
        </w:rPr>
      </w:pPr>
      <w:r>
        <w:rPr>
          <w:b/>
          <w:szCs w:val="22"/>
          <w:lang w:val="es-ES_tradnl"/>
        </w:rPr>
        <w:t>Planos de Balizamiento de redes y conexiones</w:t>
      </w:r>
    </w:p>
    <w:p w:rsidR="002C2CB8" w:rsidRDefault="002C2CB8" w:rsidP="002C2CB8">
      <w:pPr>
        <w:rPr>
          <w:rFonts w:cs="Arial"/>
          <w:szCs w:val="21"/>
          <w:lang w:val="es-ES_tradnl"/>
        </w:rPr>
      </w:pPr>
      <w:r>
        <w:rPr>
          <w:rFonts w:cs="Arial"/>
          <w:lang w:val="es-ES_tradnl"/>
        </w:rPr>
        <w:t>Su relevancia radica en que permitirán la ubicación a futuro de todo elemento de la obra no detectable visualmente, o que potencialmente sea tapado por cambios en la rasante del terreno.</w:t>
      </w:r>
    </w:p>
    <w:p w:rsidR="002C2CB8" w:rsidRDefault="002C2CB8" w:rsidP="002C2CB8">
      <w:pPr>
        <w:rPr>
          <w:rFonts w:cs="Arial"/>
          <w:lang w:val="es-ES_tradnl"/>
        </w:rPr>
      </w:pPr>
      <w:r>
        <w:rPr>
          <w:rFonts w:cs="Arial"/>
          <w:lang w:val="es-ES_tradnl"/>
        </w:rPr>
        <w:t>En el caso de las conexiones se deberán indicar las distancias parciales y/o totales respecto a un punto de referencia invariante (Registro u otro de conformidad con la Dirección de Obra). Asimismo, se deberá indicar el ángulo que presenta la tubería de conexión con el colector.</w:t>
      </w:r>
    </w:p>
    <w:p w:rsidR="002C2CB8" w:rsidRPr="00E940F5" w:rsidRDefault="002C2CB8" w:rsidP="002C2CB8">
      <w:pPr>
        <w:rPr>
          <w:rFonts w:cs="Arial"/>
        </w:rPr>
      </w:pPr>
      <w:r>
        <w:rPr>
          <w:rFonts w:cs="Arial"/>
          <w:lang w:val="es-ES_tradnl"/>
        </w:rPr>
        <w:t>Para el caso de los registros y las cámaras terminales deberán indicarse las distancias a puntos fijos como columnas u otros a definir por la Dirección de Obra, y deber</w:t>
      </w:r>
      <w:r>
        <w:rPr>
          <w:rFonts w:cs="Arial"/>
        </w:rPr>
        <w:t xml:space="preserve">á regirse por el Modelo de Datos de Saneamiento vigente en OSE. El software a utilizar deberá estar acordado con la UIG, la que entregará un esquema de la </w:t>
      </w:r>
      <w:proofErr w:type="spellStart"/>
      <w:r>
        <w:rPr>
          <w:rFonts w:cs="Arial"/>
        </w:rPr>
        <w:t>geodatabase</w:t>
      </w:r>
      <w:proofErr w:type="spellEnd"/>
      <w:r>
        <w:rPr>
          <w:rFonts w:cs="Arial"/>
        </w:rPr>
        <w:t xml:space="preserve">. Todos los puntos singulares (cámaras de conexión, registros, terminales, PB, aliviaderos, cambios de sección, cambios de dirección,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 xml:space="preserve">) deberán estar </w:t>
      </w:r>
      <w:proofErr w:type="spellStart"/>
      <w:r>
        <w:rPr>
          <w:rFonts w:cs="Arial"/>
        </w:rPr>
        <w:t>georeferenciados</w:t>
      </w:r>
      <w:proofErr w:type="spellEnd"/>
      <w:r>
        <w:rPr>
          <w:rFonts w:cs="Arial"/>
        </w:rPr>
        <w:t xml:space="preserve"> en SISTEMA WGS 1984, PROYECCION UTM Zona 21 SUR, compatible con SIRGAS-ROU 98, PROYECCION UTM Zona 21 SUR.</w:t>
      </w:r>
    </w:p>
    <w:p w:rsidR="002C2CB8" w:rsidRDefault="002C2CB8" w:rsidP="002C2CB8">
      <w:pPr>
        <w:rPr>
          <w:b/>
          <w:lang w:val="es-ES_tradnl"/>
        </w:rPr>
      </w:pPr>
    </w:p>
    <w:p w:rsidR="002C2CB8" w:rsidRDefault="002C2CB8" w:rsidP="002C2CB8">
      <w:pPr>
        <w:rPr>
          <w:rFonts w:ascii="Calibri" w:hAnsi="Calibri"/>
          <w:b/>
          <w:sz w:val="22"/>
          <w:szCs w:val="22"/>
          <w:lang w:val="es-ES_tradnl"/>
        </w:rPr>
      </w:pPr>
      <w:r>
        <w:rPr>
          <w:b/>
          <w:szCs w:val="22"/>
          <w:lang w:val="es-ES_tradnl"/>
        </w:rPr>
        <w:t>Planos Conforme a Obra</w:t>
      </w:r>
    </w:p>
    <w:p w:rsidR="002C2CB8" w:rsidRDefault="002C2CB8" w:rsidP="002C2CB8">
      <w:pPr>
        <w:rPr>
          <w:rFonts w:cs="Arial"/>
        </w:rPr>
      </w:pPr>
      <w:r>
        <w:rPr>
          <w:rFonts w:cs="Arial"/>
          <w:lang w:val="es-ES_tradnl"/>
        </w:rPr>
        <w:t>Para el caso de las redes, los planos conforme a obra deberán indicar longitudes, pendientes y diámetros de los colectores, así como profundidades y cotas de zampeado y de tapa de los registros y terminales construidos.</w:t>
      </w:r>
      <w:r>
        <w:rPr>
          <w:rFonts w:cs="Arial"/>
        </w:rPr>
        <w:t xml:space="preserve"> </w:t>
      </w:r>
    </w:p>
    <w:p w:rsidR="002C2CB8" w:rsidRPr="005254CB" w:rsidRDefault="002C2CB8" w:rsidP="002C2CB8">
      <w:pPr>
        <w:rPr>
          <w:rFonts w:cs="Arial"/>
          <w:szCs w:val="21"/>
        </w:rPr>
      </w:pPr>
      <w:r>
        <w:rPr>
          <w:rFonts w:cs="Arial"/>
        </w:rPr>
        <w:t>Las cotas deberán referirse al cero oficial.</w:t>
      </w:r>
    </w:p>
    <w:p w:rsidR="002C2CB8" w:rsidRDefault="002C2CB8" w:rsidP="002C2CB8">
      <w:pPr>
        <w:rPr>
          <w:rFonts w:cs="Arial"/>
          <w:lang w:val="es-ES_tradnl"/>
        </w:rPr>
      </w:pPr>
      <w:r>
        <w:rPr>
          <w:rFonts w:cs="Arial"/>
          <w:lang w:val="es-ES_tradnl"/>
        </w:rPr>
        <w:lastRenderedPageBreak/>
        <w:t>Asimismo, en caso de cambios sustanciales de cualquier otro elemento del proyecto, se deberán confeccionar los correspondientes planos “conforme a obra” ilustrando dichos cambios.</w:t>
      </w:r>
    </w:p>
    <w:p w:rsidR="002C2CB8" w:rsidRDefault="002C2CB8" w:rsidP="002C2CB8">
      <w:pPr>
        <w:rPr>
          <w:rFonts w:cs="Arial"/>
          <w:lang w:val="es-ES_tradnl"/>
        </w:rPr>
      </w:pPr>
      <w:r>
        <w:rPr>
          <w:rFonts w:cs="Arial"/>
          <w:lang w:val="es-ES_tradnl"/>
        </w:rPr>
        <w:t>En todos los casos, los cambios de proyecto deberán ser oportunamente aprobados por la Dirección de Obra.</w:t>
      </w:r>
    </w:p>
    <w:p w:rsidR="00AF62A7" w:rsidRDefault="00AF62A7"/>
    <w:sectPr w:rsidR="00AF62A7" w:rsidSect="004B7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04B5"/>
    <w:multiLevelType w:val="multilevel"/>
    <w:tmpl w:val="1AF454CC"/>
    <w:lvl w:ilvl="0">
      <w:start w:val="1"/>
      <w:numFmt w:val="upperRoman"/>
      <w:pStyle w:val="Ttulo1"/>
      <w:suff w:val="space"/>
      <w:lvlText w:val="CAPITULO %1:"/>
      <w:lvlJc w:val="left"/>
      <w:pPr>
        <w:ind w:left="1491" w:hanging="357"/>
      </w:pPr>
      <w:rPr>
        <w:rFonts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499" w:hanging="35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641" w:hanging="35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641" w:hanging="35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2CB8"/>
    <w:rsid w:val="00087B11"/>
    <w:rsid w:val="002C2CB8"/>
    <w:rsid w:val="004B713B"/>
    <w:rsid w:val="00A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B8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UY" w:eastAsia="es-ES"/>
    </w:rPr>
  </w:style>
  <w:style w:type="paragraph" w:styleId="Ttulo1">
    <w:name w:val="heading 1"/>
    <w:basedOn w:val="Normal"/>
    <w:next w:val="Normal"/>
    <w:link w:val="Ttulo1Car"/>
    <w:qFormat/>
    <w:rsid w:val="002C2CB8"/>
    <w:pPr>
      <w:keepNext/>
      <w:numPr>
        <w:numId w:val="1"/>
      </w:numPr>
      <w:spacing w:before="240" w:after="120"/>
      <w:outlineLvl w:val="0"/>
    </w:pPr>
    <w:rPr>
      <w:b/>
      <w:caps/>
      <w:kern w:val="28"/>
      <w:sz w:val="24"/>
    </w:rPr>
  </w:style>
  <w:style w:type="paragraph" w:styleId="Ttulo2">
    <w:name w:val="heading 2"/>
    <w:basedOn w:val="Prrafodelista"/>
    <w:next w:val="Normal"/>
    <w:link w:val="Ttulo2Car"/>
    <w:qFormat/>
    <w:rsid w:val="002C2CB8"/>
    <w:pPr>
      <w:widowControl w:val="0"/>
      <w:numPr>
        <w:ilvl w:val="1"/>
        <w:numId w:val="1"/>
      </w:numPr>
      <w:spacing w:before="120" w:after="120"/>
      <w:outlineLvl w:val="1"/>
    </w:pPr>
    <w:rPr>
      <w:b/>
      <w:i/>
      <w:snapToGrid w:val="0"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qFormat/>
    <w:rsid w:val="002C2CB8"/>
    <w:pPr>
      <w:widowControl w:val="0"/>
      <w:numPr>
        <w:ilvl w:val="2"/>
        <w:numId w:val="1"/>
      </w:numPr>
      <w:spacing w:before="120"/>
      <w:outlineLvl w:val="2"/>
    </w:pPr>
    <w:rPr>
      <w:b/>
      <w:snapToGrid w:val="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2C2CB8"/>
    <w:pPr>
      <w:keepNext/>
      <w:numPr>
        <w:ilvl w:val="3"/>
        <w:numId w:val="1"/>
      </w:numPr>
      <w:spacing w:before="120"/>
      <w:outlineLvl w:val="3"/>
    </w:pPr>
    <w:rPr>
      <w:b/>
    </w:rPr>
  </w:style>
  <w:style w:type="paragraph" w:styleId="Ttulo5">
    <w:name w:val="heading 5"/>
    <w:basedOn w:val="Ttulo4"/>
    <w:next w:val="Normal"/>
    <w:link w:val="Ttulo5Car"/>
    <w:qFormat/>
    <w:rsid w:val="002C2CB8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2CB8"/>
    <w:rPr>
      <w:rFonts w:ascii="Arial" w:eastAsia="Times New Roman" w:hAnsi="Arial" w:cs="Times New Roman"/>
      <w:b/>
      <w:caps/>
      <w:kern w:val="28"/>
      <w:sz w:val="24"/>
      <w:szCs w:val="20"/>
      <w:lang w:val="es-UY" w:eastAsia="es-ES"/>
    </w:rPr>
  </w:style>
  <w:style w:type="character" w:customStyle="1" w:styleId="Ttulo2Car">
    <w:name w:val="Título 2 Car"/>
    <w:basedOn w:val="Fuentedeprrafopredeter"/>
    <w:link w:val="Ttulo2"/>
    <w:rsid w:val="002C2CB8"/>
    <w:rPr>
      <w:rFonts w:ascii="Arial" w:eastAsia="Times New Roman" w:hAnsi="Arial" w:cs="Times New Roman"/>
      <w:b/>
      <w:i/>
      <w:snapToGrid w:val="0"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C2CB8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C2CB8"/>
    <w:rPr>
      <w:rFonts w:ascii="Arial" w:eastAsia="Times New Roman" w:hAnsi="Arial" w:cs="Times New Roman"/>
      <w:b/>
      <w:sz w:val="20"/>
      <w:szCs w:val="20"/>
      <w:lang w:val="es-UY" w:eastAsia="es-ES"/>
    </w:rPr>
  </w:style>
  <w:style w:type="character" w:customStyle="1" w:styleId="Ttulo5Car">
    <w:name w:val="Título 5 Car"/>
    <w:basedOn w:val="Fuentedeprrafopredeter"/>
    <w:link w:val="Ttulo5"/>
    <w:rsid w:val="002C2CB8"/>
    <w:rPr>
      <w:rFonts w:ascii="Arial" w:eastAsia="Times New Roman" w:hAnsi="Arial" w:cs="Times New Roman"/>
      <w:b/>
      <w:sz w:val="20"/>
      <w:szCs w:val="20"/>
      <w:lang w:val="es-UY" w:eastAsia="es-ES"/>
    </w:rPr>
  </w:style>
  <w:style w:type="paragraph" w:styleId="Prrafodelista">
    <w:name w:val="List Paragraph"/>
    <w:basedOn w:val="Normal"/>
    <w:uiPriority w:val="34"/>
    <w:qFormat/>
    <w:rsid w:val="002C2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Olivera</dc:creator>
  <cp:lastModifiedBy>JDepaula</cp:lastModifiedBy>
  <cp:revision>2</cp:revision>
  <dcterms:created xsi:type="dcterms:W3CDTF">2019-10-15T18:30:00Z</dcterms:created>
  <dcterms:modified xsi:type="dcterms:W3CDTF">2019-10-15T18:30:00Z</dcterms:modified>
</cp:coreProperties>
</file>